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b/>
          <w:bCs/>
          <w:sz w:val="40"/>
          <w:szCs w:val="40"/>
        </w:rPr>
        <w:t xml:space="preserve">2015 HONDA CIVIC</w:t>
      </w:r>
    </w:p>
    <w:p>
      <w:pPr>
        <w:pBdr>
          <w:bottom w:val="single" w:color="C9A24A" w:sz="8" w:space="6"/>
        </w:pBdr>
        <w:spacing w:after="200"/>
      </w:pPr>
      <w:r>
        <w:rPr>
          <w:color w:val="555555"/>
          <w:sz w:val="22"/>
          <w:szCs w:val="22"/>
        </w:rPr>
        <w:t xml:space="preserve">Maintenance sheet — what it needs, when, and what it should cost</w:t>
      </w:r>
    </w:p>
    <w:p>
      <w:pPr>
        <w:spacing w:after="120"/>
      </w:pPr>
      <w:r>
        <w:rPr>
          <w:sz w:val="20"/>
          <w:szCs w:val="20"/>
        </w:rPr>
        <w:t xml:space="preserve">Covers the 9th-generation Civic (2012–2015). Primary case is the 1.8L four (R18Z1) in LX / SE / EX / EX-L. Si (2.4L) and Hybrid differences are noted where they matter.</w:t>
      </w:r>
    </w:p>
    <w:p>
      <w:pPr>
        <w:spacing w:after="120"/>
      </w:pPr>
      <w:r>
        <w:rPr>
          <w:sz w:val="20"/>
          <w:szCs w:val="20"/>
        </w:rPr>
        <w:t xml:space="preserve">This car is 11 model years old. That drives most of what follows: the age-based items on page 2 are the ones most likely overdue.</w:t>
      </w:r>
    </w:p>
    <w:p>
      <w:pPr>
        <w:pStyle w:val="Heading1"/>
      </w:pPr>
      <w:r>
        <w:t xml:space="preserve">Quick reference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00"/>
        <w:gridCol w:w="7060"/>
      </w:tblGrid>
      <w:tr>
        <w:trPr>
          <w:tblHeader/>
        </w:trPr>
        <w:tc>
          <w:tcPr>
            <w:tcW w:type="dxa" w:w="2300"/>
            <w:tcBorders>
              <w:top w:val="single" w:color="BBBBBB" w:sz="1"/>
              <w:left w:val="single" w:color="BBBBBB" w:sz="1"/>
              <w:bottom w:val="single" w:color="BBBBBB" w:sz="1"/>
              <w:right w:val="single" w:color="BBBBBB" w:sz="1"/>
            </w:tcBorders>
            <w:shd w:fill="EDE4D0" w:val="clear"/>
            <w:tcMar>
              <w:top w:type="dxa" w:w="80"/>
              <w:left w:type="dxa" w:w="120"/>
              <w:bottom w:type="dxa" w:w="80"/>
              <w:right w:type="dxa" w:w="120"/>
            </w:tcMar>
          </w:tcPr>
          <w:p>
            <w:r>
              <w:rPr>
                <w:b/>
                <w:bCs/>
                <w:sz w:val="19"/>
                <w:szCs w:val="19"/>
              </w:rPr>
              <w:t xml:space="preserve">Item</w:t>
            </w:r>
          </w:p>
        </w:tc>
        <w:tc>
          <w:tcPr>
            <w:tcW w:type="dxa" w:w="7060"/>
            <w:tcBorders>
              <w:top w:val="single" w:color="BBBBBB" w:sz="1"/>
              <w:left w:val="single" w:color="BBBBBB" w:sz="1"/>
              <w:bottom w:val="single" w:color="BBBBBB" w:sz="1"/>
              <w:right w:val="single" w:color="BBBBBB" w:sz="1"/>
            </w:tcBorders>
            <w:shd w:fill="EDE4D0" w:val="clear"/>
            <w:tcMar>
              <w:top w:type="dxa" w:w="80"/>
              <w:left w:type="dxa" w:w="120"/>
              <w:bottom w:type="dxa" w:w="80"/>
              <w:right w:type="dxa" w:w="120"/>
            </w:tcMar>
          </w:tcPr>
          <w:p>
            <w:r>
              <w:rPr>
                <w:b/>
                <w:bCs/>
                <w:sz w:val="19"/>
                <w:szCs w:val="19"/>
              </w:rPr>
              <w:t xml:space="preserve">Answer</w:t>
            </w:r>
          </w:p>
        </w:tc>
      </w:tr>
      <w:tr>
        <w:tc>
          <w:tcPr>
            <w:tcW w:type="dxa" w:w="23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bCs/>
                <w:sz w:val="19"/>
                <w:szCs w:val="19"/>
              </w:rPr>
              <w:t xml:space="preserve">Engine oil</w:t>
            </w:r>
          </w:p>
        </w:tc>
        <w:tc>
          <w:tcPr>
            <w:tcW w:type="dxa" w:w="70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0W-20 full synthetic — 3.9 qt with filter (1.8L); ~4.4 qt (Si 2.4L)</w:t>
            </w:r>
          </w:p>
        </w:tc>
      </w:tr>
      <w:tr>
        <w:tc>
          <w:tcPr>
            <w:tcW w:type="dxa" w:w="23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bCs/>
                <w:sz w:val="19"/>
                <w:szCs w:val="19"/>
              </w:rPr>
              <w:t xml:space="preserve">Oil filter</w:t>
            </w:r>
          </w:p>
        </w:tc>
        <w:tc>
          <w:tcPr>
            <w:tcW w:type="dxa" w:w="70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15400-PLM-A02  ·  drain washer 94109-14000 (14 mm, replace each time)</w:t>
            </w:r>
          </w:p>
        </w:tc>
      </w:tr>
      <w:tr>
        <w:tc>
          <w:tcPr>
            <w:tcW w:type="dxa" w:w="23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bCs/>
                <w:sz w:val="19"/>
                <w:szCs w:val="19"/>
              </w:rPr>
              <w:t xml:space="preserve">Engine air filter</w:t>
            </w:r>
          </w:p>
        </w:tc>
        <w:tc>
          <w:tcPr>
            <w:tcW w:type="dxa" w:w="70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17220-R1A-A01</w:t>
            </w:r>
          </w:p>
        </w:tc>
      </w:tr>
      <w:tr>
        <w:tc>
          <w:tcPr>
            <w:tcW w:type="dxa" w:w="23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bCs/>
                <w:sz w:val="19"/>
                <w:szCs w:val="19"/>
              </w:rPr>
              <w:t xml:space="preserve">Cabin / pollen filter</w:t>
            </w:r>
          </w:p>
        </w:tc>
        <w:tc>
          <w:tcPr>
            <w:tcW w:type="dxa" w:w="70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80292-SDA-407 (behind the glovebox, ~10 minutes)</w:t>
            </w:r>
          </w:p>
        </w:tc>
      </w:tr>
      <w:tr>
        <w:tc>
          <w:tcPr>
            <w:tcW w:type="dxa" w:w="23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bCs/>
                <w:sz w:val="19"/>
                <w:szCs w:val="19"/>
              </w:rPr>
              <w:t xml:space="preserve">CVT fluid</w:t>
            </w:r>
          </w:p>
        </w:tc>
        <w:tc>
          <w:tcPr>
            <w:tcW w:type="dxa" w:w="70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Honda HCF-2 ONLY — ~3 qt per drain and fill, every 25,000–30,000 mi</w:t>
            </w:r>
          </w:p>
        </w:tc>
      </w:tr>
      <w:tr>
        <w:tc>
          <w:tcPr>
            <w:tcW w:type="dxa" w:w="23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bCs/>
                <w:sz w:val="19"/>
                <w:szCs w:val="19"/>
              </w:rPr>
              <w:t xml:space="preserve">Manual trans fluid</w:t>
            </w:r>
          </w:p>
        </w:tc>
        <w:tc>
          <w:tcPr>
            <w:tcW w:type="dxa" w:w="70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Honda MTF — ~2 qt (Si / 5-speed)</w:t>
            </w:r>
          </w:p>
        </w:tc>
      </w:tr>
      <w:tr>
        <w:tc>
          <w:tcPr>
            <w:tcW w:type="dxa" w:w="23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bCs/>
                <w:sz w:val="19"/>
                <w:szCs w:val="19"/>
              </w:rPr>
              <w:t xml:space="preserve">Coolant</w:t>
            </w:r>
          </w:p>
        </w:tc>
        <w:tc>
          <w:tcPr>
            <w:tcW w:type="dxa" w:w="70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Honda Type 2 (blue) — never generic green or "universal"</w:t>
            </w:r>
          </w:p>
        </w:tc>
      </w:tr>
      <w:tr>
        <w:tc>
          <w:tcPr>
            <w:tcW w:type="dxa" w:w="23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bCs/>
                <w:sz w:val="19"/>
                <w:szCs w:val="19"/>
              </w:rPr>
              <w:t xml:space="preserve">Brake fluid</w:t>
            </w:r>
          </w:p>
        </w:tc>
        <w:tc>
          <w:tcPr>
            <w:tcW w:type="dxa" w:w="70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DOT 3 — every 3 years regardless of mileage</w:t>
            </w:r>
          </w:p>
        </w:tc>
      </w:tr>
      <w:tr>
        <w:tc>
          <w:tcPr>
            <w:tcW w:type="dxa" w:w="23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bCs/>
                <w:sz w:val="19"/>
                <w:szCs w:val="19"/>
              </w:rPr>
              <w:t xml:space="preserve">Spark plugs</w:t>
            </w:r>
          </w:p>
        </w:tc>
        <w:tc>
          <w:tcPr>
            <w:tcW w:type="dxa" w:w="70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Iridium, ~100,000 mi — do not re-gap</w:t>
            </w:r>
          </w:p>
        </w:tc>
      </w:tr>
      <w:tr>
        <w:tc>
          <w:tcPr>
            <w:tcW w:type="dxa" w:w="23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bCs/>
                <w:sz w:val="19"/>
                <w:szCs w:val="19"/>
              </w:rPr>
              <w:t xml:space="preserve">Battery</w:t>
            </w:r>
          </w:p>
        </w:tc>
        <w:tc>
          <w:tcPr>
            <w:tcW w:type="dxa" w:w="70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BCI Group 51R</w:t>
            </w:r>
          </w:p>
        </w:tc>
      </w:tr>
      <w:tr>
        <w:tc>
          <w:tcPr>
            <w:tcW w:type="dxa" w:w="23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bCs/>
                <w:sz w:val="19"/>
                <w:szCs w:val="19"/>
              </w:rPr>
              <w:t xml:space="preserve">Wipers</w:t>
            </w:r>
          </w:p>
        </w:tc>
        <w:tc>
          <w:tcPr>
            <w:tcW w:type="dxa" w:w="70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Sedan 26" / 22"   ·   Coupe 28" / 24"</w:t>
            </w:r>
          </w:p>
        </w:tc>
      </w:tr>
      <w:tr>
        <w:tc>
          <w:tcPr>
            <w:tcW w:type="dxa" w:w="23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bCs/>
                <w:sz w:val="19"/>
                <w:szCs w:val="19"/>
              </w:rPr>
              <w:t xml:space="preserve">Tire pressure</w:t>
            </w:r>
          </w:p>
        </w:tc>
        <w:tc>
          <w:tcPr>
            <w:tcW w:type="dxa" w:w="70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Per the driver’s door jamb sticker (typically 32 psi)</w:t>
            </w:r>
          </w:p>
        </w:tc>
      </w:tr>
      <w:tr>
        <w:tc>
          <w:tcPr>
            <w:tcW w:type="dxa" w:w="23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bCs/>
                <w:sz w:val="19"/>
                <w:szCs w:val="19"/>
              </w:rPr>
              <w:t xml:space="preserve">Timing belt</w:t>
            </w:r>
          </w:p>
        </w:tc>
        <w:tc>
          <w:tcPr>
            <w:tcW w:type="dxa" w:w="70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None — this engine uses a chain, designed to last its life</w:t>
            </w:r>
          </w:p>
        </w:tc>
      </w:tr>
      <w:tr>
        <w:tc>
          <w:tcPr>
            <w:tcW w:type="dxa" w:w="23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bCs/>
                <w:sz w:val="19"/>
                <w:szCs w:val="19"/>
              </w:rPr>
              <w:t xml:space="preserve">Minder reset</w:t>
            </w:r>
          </w:p>
        </w:tc>
        <w:tc>
          <w:tcPr>
            <w:tcW w:type="dxa" w:w="70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Ignition on → show oil life → hold ~10 s until it blinks → hold ~5 s</w:t>
            </w:r>
          </w:p>
        </w:tc>
      </w:tr>
      <w:tr>
        <w:tc>
          <w:tcPr>
            <w:tcW w:type="dxa" w:w="23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bCs/>
                <w:sz w:val="19"/>
                <w:szCs w:val="19"/>
              </w:rPr>
              <w:t xml:space="preserve">Recall check</w:t>
            </w:r>
          </w:p>
        </w:tc>
        <w:tc>
          <w:tcPr>
            <w:tcW w:type="dxa" w:w="70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honda.com/recalls — free, forever, any dealer</w:t>
            </w:r>
          </w:p>
        </w:tc>
      </w:tr>
    </w:tbl>
    <w:p>
      <w:pPr>
        <w:pStyle w:val="Heading1"/>
      </w:pPr>
      <w:r>
        <w:t xml:space="preserve">The short version</w:t>
      </w:r>
    </w:p>
    <w:p>
      <w:pPr>
        <w:pStyle w:val="ListParagraph"/>
        <w:numPr>
          <w:ilvl w:val="0"/>
          <w:numId w:val="2"/>
        </w:numPr>
        <w:spacing w:after="60"/>
      </w:pPr>
      <w:r>
        <w:rPr>
          <w:sz w:val="20"/>
          <w:szCs w:val="20"/>
        </w:rPr>
        <w:t xml:space="preserve">Follow the Maintenance Minder, not a mileage chart. Change the oil when the car asks, or once a year, whichever comes first.</w:t>
      </w:r>
    </w:p>
    <w:p>
      <w:pPr>
        <w:pStyle w:val="ListParagraph"/>
        <w:numPr>
          <w:ilvl w:val="0"/>
          <w:numId w:val="2"/>
        </w:numPr>
        <w:spacing w:after="60"/>
      </w:pPr>
      <w:r>
        <w:rPr>
          <w:sz w:val="20"/>
          <w:szCs w:val="20"/>
        </w:rPr>
        <w:t xml:space="preserve">Use 0W-20 full synthetic. Not 5W-20, not 5W-30.</w:t>
      </w:r>
    </w:p>
    <w:p>
      <w:pPr>
        <w:pStyle w:val="ListParagraph"/>
        <w:numPr>
          <w:ilvl w:val="0"/>
          <w:numId w:val="2"/>
        </w:numPr>
        <w:spacing w:after="60"/>
      </w:pPr>
      <w:r>
        <w:rPr>
          <w:sz w:val="20"/>
          <w:szCs w:val="20"/>
        </w:rPr>
        <w:t xml:space="preserve">Age items are almost certainly due: brake fluid every 3 years, coolant on the long interval. This car is 11.</w:t>
      </w:r>
    </w:p>
    <w:p>
      <w:pPr>
        <w:pStyle w:val="ListParagraph"/>
        <w:numPr>
          <w:ilvl w:val="0"/>
          <w:numId w:val="2"/>
        </w:numPr>
        <w:spacing w:after="60"/>
      </w:pPr>
      <w:r>
        <w:rPr>
          <w:sz w:val="20"/>
          <w:szCs w:val="20"/>
        </w:rPr>
        <w:t xml:space="preserve">There is no timing belt. Anyone quoting one for this car is wrong.</w:t>
      </w:r>
    </w:p>
    <w:p>
      <w:pPr>
        <w:pStyle w:val="ListParagraph"/>
        <w:numPr>
          <w:ilvl w:val="0"/>
          <w:numId w:val="2"/>
        </w:numPr>
        <w:spacing w:after="60"/>
      </w:pPr>
      <w:r>
        <w:rPr>
          <w:sz w:val="20"/>
          <w:szCs w:val="20"/>
        </w:rPr>
        <w:t xml:space="preserve">If it is a CVT, HCF-2 fluid every 25–30k is the single highest-leverage thing you can do.</w:t>
      </w:r>
    </w:p>
    <w:p>
      <w:pPr>
        <w:pStyle w:val="ListParagraph"/>
        <w:numPr>
          <w:ilvl w:val="0"/>
          <w:numId w:val="2"/>
        </w:numPr>
        <w:spacing w:after="60"/>
      </w:pPr>
      <w:r>
        <w:rPr>
          <w:sz w:val="20"/>
          <w:szCs w:val="20"/>
        </w:rPr>
        <w:t xml:space="preserve">Run the VIN through honda.com/recalls today — Takata airbags touched this era.</w:t>
      </w:r>
    </w:p>
    <w:p>
      <w:pPr>
        <w:pStyle w:val="ListParagraph"/>
        <w:numPr>
          <w:ilvl w:val="0"/>
          <w:numId w:val="2"/>
        </w:numPr>
        <w:spacing w:after="60"/>
      </w:pPr>
      <w:r>
        <w:rPr>
          <w:sz w:val="20"/>
          <w:szCs w:val="20"/>
        </w:rPr>
        <w:t xml:space="preserve">Check tire pressure monthly with a gauge; the indirect TPMS misses slow even leaks.</w:t>
      </w:r>
    </w:p>
    <w:p>
      <w:pPr>
        <w:pageBreakBefore/>
      </w:pPr>
    </w:p>
    <w:p>
      <w:pPr>
        <w:pStyle w:val="Heading1"/>
      </w:pPr>
      <w:r>
        <w:t xml:space="preserve">Age-based items — what an 11-year-old car owes</w:t>
      </w:r>
    </w:p>
    <w:p>
      <w:pPr>
        <w:spacing w:after="120"/>
      </w:pPr>
      <w:r>
        <w:rPr>
          <w:sz w:val="20"/>
          <w:szCs w:val="20"/>
        </w:rPr>
        <w:t xml:space="preserve">Maintenance Minder measures engine and fluid condition. It does not track age. These do not care how little you drive.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2100"/>
        <w:gridCol w:w="5260"/>
      </w:tblGrid>
      <w:tr>
        <w:trPr>
          <w:tblHeader/>
        </w:trPr>
        <w:tc>
          <w:tcPr>
            <w:tcW w:type="dxa" w:w="2000"/>
            <w:tcBorders>
              <w:top w:val="single" w:color="BBBBBB" w:sz="1"/>
              <w:left w:val="single" w:color="BBBBBB" w:sz="1"/>
              <w:bottom w:val="single" w:color="BBBBBB" w:sz="1"/>
              <w:right w:val="single" w:color="BBBBBB" w:sz="1"/>
            </w:tcBorders>
            <w:shd w:fill="EDE4D0" w:val="clear"/>
            <w:tcMar>
              <w:top w:type="dxa" w:w="80"/>
              <w:left w:type="dxa" w:w="120"/>
              <w:bottom w:type="dxa" w:w="80"/>
              <w:right w:type="dxa" w:w="120"/>
            </w:tcMar>
          </w:tcPr>
          <w:p>
            <w:r>
              <w:rPr>
                <w:b/>
                <w:bCs/>
                <w:sz w:val="19"/>
                <w:szCs w:val="19"/>
              </w:rPr>
              <w:t xml:space="preserve">Item</w:t>
            </w:r>
          </w:p>
        </w:tc>
        <w:tc>
          <w:tcPr>
            <w:tcW w:type="dxa" w:w="2100"/>
            <w:tcBorders>
              <w:top w:val="single" w:color="BBBBBB" w:sz="1"/>
              <w:left w:val="single" w:color="BBBBBB" w:sz="1"/>
              <w:bottom w:val="single" w:color="BBBBBB" w:sz="1"/>
              <w:right w:val="single" w:color="BBBBBB" w:sz="1"/>
            </w:tcBorders>
            <w:shd w:fill="EDE4D0" w:val="clear"/>
            <w:tcMar>
              <w:top w:type="dxa" w:w="80"/>
              <w:left w:type="dxa" w:w="120"/>
              <w:bottom w:type="dxa" w:w="80"/>
              <w:right w:type="dxa" w:w="120"/>
            </w:tcMar>
          </w:tcPr>
          <w:p>
            <w:r>
              <w:rPr>
                <w:b/>
                <w:bCs/>
                <w:sz w:val="19"/>
                <w:szCs w:val="19"/>
              </w:rPr>
              <w:t xml:space="preserve">Interval</w:t>
            </w:r>
          </w:p>
        </w:tc>
        <w:tc>
          <w:tcPr>
            <w:tcW w:type="dxa" w:w="5260"/>
            <w:tcBorders>
              <w:top w:val="single" w:color="BBBBBB" w:sz="1"/>
              <w:left w:val="single" w:color="BBBBBB" w:sz="1"/>
              <w:bottom w:val="single" w:color="BBBBBB" w:sz="1"/>
              <w:right w:val="single" w:color="BBBBBB" w:sz="1"/>
            </w:tcBorders>
            <w:shd w:fill="EDE4D0" w:val="clear"/>
            <w:tcMar>
              <w:top w:type="dxa" w:w="80"/>
              <w:left w:type="dxa" w:w="120"/>
              <w:bottom w:type="dxa" w:w="80"/>
              <w:right w:type="dxa" w:w="120"/>
            </w:tcMar>
          </w:tcPr>
          <w:p>
            <w:r>
              <w:rPr>
                <w:b/>
                <w:bCs/>
                <w:sz w:val="19"/>
                <w:szCs w:val="19"/>
              </w:rPr>
              <w:t xml:space="preserve">Status at 11 years</w:t>
            </w:r>
          </w:p>
        </w:tc>
      </w:tr>
      <w:tr>
        <w:tc>
          <w:tcPr>
            <w:tcW w:type="dxa" w:w="20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bCs/>
                <w:sz w:val="19"/>
                <w:szCs w:val="19"/>
              </w:rPr>
              <w:t xml:space="preserve">Brake fluid</w:t>
            </w:r>
          </w:p>
        </w:tc>
        <w:tc>
          <w:tcPr>
            <w:tcW w:type="dxa" w:w="21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Every 3 years, always</w:t>
            </w:r>
          </w:p>
        </w:tc>
        <w:tc>
          <w:tcPr>
            <w:tcW w:type="dxa" w:w="52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Should have been done 3 times. Absorbs water, lowers boil point, corrodes ABS parts internally.</w:t>
            </w:r>
          </w:p>
        </w:tc>
      </w:tr>
      <w:tr>
        <w:tc>
          <w:tcPr>
            <w:tcW w:type="dxa" w:w="20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bCs/>
                <w:sz w:val="19"/>
                <w:szCs w:val="19"/>
              </w:rPr>
              <w:t xml:space="preserve">Engine coolant</w:t>
            </w:r>
          </w:p>
        </w:tc>
        <w:tc>
          <w:tcPr>
            <w:tcW w:type="dxa" w:w="21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First ~10 years, then every 5</w:t>
            </w:r>
          </w:p>
        </w:tc>
        <w:tc>
          <w:tcPr>
            <w:tcW w:type="dxa" w:w="52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Due now on age alone if never replaced.</w:t>
            </w:r>
          </w:p>
        </w:tc>
      </w:tr>
      <w:tr>
        <w:tc>
          <w:tcPr>
            <w:tcW w:type="dxa" w:w="20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bCs/>
                <w:sz w:val="19"/>
                <w:szCs w:val="19"/>
              </w:rPr>
              <w:t xml:space="preserve">Battery</w:t>
            </w:r>
          </w:p>
        </w:tc>
        <w:tc>
          <w:tcPr>
            <w:tcW w:type="dxa" w:w="21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4–6 years</w:t>
            </w:r>
          </w:p>
        </w:tc>
        <w:tc>
          <w:tcPr>
            <w:tcW w:type="dxa" w:w="52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On its second or third. Load-test before winter.</w:t>
            </w:r>
          </w:p>
        </w:tc>
      </w:tr>
      <w:tr>
        <w:tc>
          <w:tcPr>
            <w:tcW w:type="dxa" w:w="20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bCs/>
                <w:sz w:val="19"/>
                <w:szCs w:val="19"/>
              </w:rPr>
              <w:t xml:space="preserve">Tires</w:t>
            </w:r>
          </w:p>
        </w:tc>
        <w:tc>
          <w:tcPr>
            <w:tcW w:type="dxa" w:w="21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6–10 years regardless of tread</w:t>
            </w:r>
          </w:p>
        </w:tc>
        <w:tc>
          <w:tcPr>
            <w:tcW w:type="dxa" w:w="52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Check the DOT date code — 4 digits, week and year (3219 = week 32, 2019).</w:t>
            </w:r>
          </w:p>
        </w:tc>
      </w:tr>
      <w:tr>
        <w:tc>
          <w:tcPr>
            <w:tcW w:type="dxa" w:w="20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bCs/>
                <w:sz w:val="19"/>
                <w:szCs w:val="19"/>
              </w:rPr>
              <w:t xml:space="preserve">Drive belt</w:t>
            </w:r>
          </w:p>
        </w:tc>
        <w:tc>
          <w:tcPr>
            <w:tcW w:type="dxa" w:w="21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Inspect at each B service</w:t>
            </w:r>
          </w:p>
        </w:tc>
        <w:tc>
          <w:tcPr>
            <w:tcW w:type="dxa" w:w="52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Original at 11 years is on borrowed time.</w:t>
            </w:r>
          </w:p>
        </w:tc>
      </w:tr>
      <w:tr>
        <w:tc>
          <w:tcPr>
            <w:tcW w:type="dxa" w:w="20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bCs/>
                <w:sz w:val="19"/>
                <w:szCs w:val="19"/>
              </w:rPr>
              <w:t xml:space="preserve">Brake/fuel lines, bushings</w:t>
            </w:r>
          </w:p>
        </w:tc>
        <w:tc>
          <w:tcPr>
            <w:tcW w:type="dxa" w:w="21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Inspect</w:t>
            </w:r>
          </w:p>
        </w:tc>
        <w:tc>
          <w:tcPr>
            <w:tcW w:type="dxa" w:w="52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If the car has seen road salt, this is a rust inspection now.</w:t>
            </w:r>
          </w:p>
        </w:tc>
      </w:tr>
    </w:tbl>
    <w:p>
      <w:pPr>
        <w:pStyle w:val="Heading1"/>
      </w:pPr>
      <w:r>
        <w:t xml:space="preserve">Maintenance Minder codes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100"/>
        <w:gridCol w:w="8260"/>
      </w:tblGrid>
      <w:tr>
        <w:trPr>
          <w:tblHeader/>
        </w:trPr>
        <w:tc>
          <w:tcPr>
            <w:tcW w:type="dxa" w:w="1100"/>
            <w:tcBorders>
              <w:top w:val="single" w:color="BBBBBB" w:sz="1"/>
              <w:left w:val="single" w:color="BBBBBB" w:sz="1"/>
              <w:bottom w:val="single" w:color="BBBBBB" w:sz="1"/>
              <w:right w:val="single" w:color="BBBBBB" w:sz="1"/>
            </w:tcBorders>
            <w:shd w:fill="EDE4D0" w:val="clear"/>
            <w:tcMar>
              <w:top w:type="dxa" w:w="80"/>
              <w:left w:type="dxa" w:w="120"/>
              <w:bottom w:type="dxa" w:w="80"/>
              <w:right w:type="dxa" w:w="120"/>
            </w:tcMar>
          </w:tcPr>
          <w:p>
            <w:r>
              <w:rPr>
                <w:b/>
                <w:bCs/>
                <w:sz w:val="19"/>
                <w:szCs w:val="19"/>
              </w:rPr>
              <w:t xml:space="preserve">Code</w:t>
            </w:r>
          </w:p>
        </w:tc>
        <w:tc>
          <w:tcPr>
            <w:tcW w:type="dxa" w:w="8260"/>
            <w:tcBorders>
              <w:top w:val="single" w:color="BBBBBB" w:sz="1"/>
              <w:left w:val="single" w:color="BBBBBB" w:sz="1"/>
              <w:bottom w:val="single" w:color="BBBBBB" w:sz="1"/>
              <w:right w:val="single" w:color="BBBBBB" w:sz="1"/>
            </w:tcBorders>
            <w:shd w:fill="EDE4D0" w:val="clear"/>
            <w:tcMar>
              <w:top w:type="dxa" w:w="80"/>
              <w:left w:type="dxa" w:w="120"/>
              <w:bottom w:type="dxa" w:w="80"/>
              <w:right w:type="dxa" w:w="120"/>
            </w:tcMar>
          </w:tcPr>
          <w:p>
            <w:r>
              <w:rPr>
                <w:b/>
                <w:bCs/>
                <w:sz w:val="19"/>
                <w:szCs w:val="19"/>
              </w:rPr>
              <w:t xml:space="preserve">What it wants</w:t>
            </w:r>
          </w:p>
        </w:tc>
      </w:tr>
      <w:tr>
        <w:tc>
          <w:tcPr>
            <w:tcW w:type="dxa" w:w="11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bCs/>
                <w:sz w:val="19"/>
                <w:szCs w:val="19"/>
              </w:rPr>
              <w:t xml:space="preserve">A</w:t>
            </w:r>
          </w:p>
        </w:tc>
        <w:tc>
          <w:tcPr>
            <w:tcW w:type="dxa" w:w="82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Replace engine oil.</w:t>
            </w:r>
          </w:p>
        </w:tc>
      </w:tr>
      <w:tr>
        <w:tc>
          <w:tcPr>
            <w:tcW w:type="dxa" w:w="11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bCs/>
                <w:sz w:val="19"/>
                <w:szCs w:val="19"/>
              </w:rPr>
              <w:t xml:space="preserve">B</w:t>
            </w:r>
          </w:p>
        </w:tc>
        <w:tc>
          <w:tcPr>
            <w:tcW w:type="dxa" w:w="82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Replace engine oil and filter; inspect brakes, parking brake, tie rods, steering, suspension, driveshaft boots, brake and fuel lines, exhaust, all fluid levels.</w:t>
            </w:r>
          </w:p>
        </w:tc>
      </w:tr>
      <w:tr>
        <w:tc>
          <w:tcPr>
            <w:tcW w:type="dxa" w:w="11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bCs/>
                <w:sz w:val="19"/>
                <w:szCs w:val="19"/>
              </w:rPr>
              <w:t xml:space="preserve">1</w:t>
            </w:r>
          </w:p>
        </w:tc>
        <w:tc>
          <w:tcPr>
            <w:tcW w:type="dxa" w:w="82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Rotate tires; check pressure and condition.</w:t>
            </w:r>
          </w:p>
        </w:tc>
      </w:tr>
      <w:tr>
        <w:tc>
          <w:tcPr>
            <w:tcW w:type="dxa" w:w="11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bCs/>
                <w:sz w:val="19"/>
                <w:szCs w:val="19"/>
              </w:rPr>
              <w:t xml:space="preserve">2</w:t>
            </w:r>
          </w:p>
        </w:tc>
        <w:tc>
          <w:tcPr>
            <w:tcW w:type="dxa" w:w="82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Replace engine air cleaner and cabin filter; inspect drive belt.</w:t>
            </w:r>
          </w:p>
        </w:tc>
      </w:tr>
      <w:tr>
        <w:tc>
          <w:tcPr>
            <w:tcW w:type="dxa" w:w="11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bCs/>
                <w:sz w:val="19"/>
                <w:szCs w:val="19"/>
              </w:rPr>
              <w:t xml:space="preserve">3</w:t>
            </w:r>
          </w:p>
        </w:tc>
        <w:tc>
          <w:tcPr>
            <w:tcW w:type="dxa" w:w="82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Replace transmission fluid.</w:t>
            </w:r>
          </w:p>
        </w:tc>
      </w:tr>
      <w:tr>
        <w:tc>
          <w:tcPr>
            <w:tcW w:type="dxa" w:w="11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bCs/>
                <w:sz w:val="19"/>
                <w:szCs w:val="19"/>
              </w:rPr>
              <w:t xml:space="preserve">4</w:t>
            </w:r>
          </w:p>
        </w:tc>
        <w:tc>
          <w:tcPr>
            <w:tcW w:type="dxa" w:w="82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Replace spark plugs; inspect valve clearance and water pump.</w:t>
            </w:r>
          </w:p>
        </w:tc>
      </w:tr>
      <w:tr>
        <w:tc>
          <w:tcPr>
            <w:tcW w:type="dxa" w:w="11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bCs/>
                <w:sz w:val="19"/>
                <w:szCs w:val="19"/>
              </w:rPr>
              <w:t xml:space="preserve">5</w:t>
            </w:r>
          </w:p>
        </w:tc>
        <w:tc>
          <w:tcPr>
            <w:tcW w:type="dxa" w:w="82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Replace engine coolant.</w:t>
            </w:r>
          </w:p>
        </w:tc>
      </w:tr>
      <w:tr>
        <w:tc>
          <w:tcPr>
            <w:tcW w:type="dxa" w:w="11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bCs/>
                <w:sz w:val="19"/>
                <w:szCs w:val="19"/>
              </w:rPr>
              <w:t xml:space="preserve">6</w:t>
            </w:r>
          </w:p>
        </w:tc>
        <w:tc>
          <w:tcPr>
            <w:tcW w:type="dxa" w:w="82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Rear differential — never appears on this car (front-wheel drive).</w:t>
            </w:r>
          </w:p>
        </w:tc>
      </w:tr>
    </w:tbl>
    <w:p>
      <w:pPr>
        <w:spacing w:after="120"/>
      </w:pPr>
      <w:r>
        <w:rPr>
          <w:sz w:val="20"/>
          <w:szCs w:val="20"/>
        </w:rPr>
        <w:t xml:space="preserve">Codes combine: B12 = oil and filter, full inspection, rotate tires, both filters. One visit, one list.</w:t>
      </w:r>
    </w:p>
    <w:p>
      <w:pPr>
        <w:spacing w:after="120"/>
      </w:pPr>
      <w:r>
        <w:rPr>
          <w:i/>
          <w:iCs/>
          <w:sz w:val="20"/>
          <w:szCs w:val="20"/>
        </w:rPr>
        <w:t xml:space="preserve">Only reset what you actually did — resetting the main display clears every pending item at once.</w:t>
      </w:r>
    </w:p>
    <w:p>
      <w:pPr>
        <w:pStyle w:val="Heading1"/>
      </w:pPr>
      <w:r>
        <w:t xml:space="preserve">Mileage calendar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6960"/>
      </w:tblGrid>
      <w:tr>
        <w:trPr>
          <w:tblHeader/>
        </w:trPr>
        <w:tc>
          <w:tcPr>
            <w:tcW w:type="dxa" w:w="2400"/>
            <w:tcBorders>
              <w:top w:val="single" w:color="BBBBBB" w:sz="1"/>
              <w:left w:val="single" w:color="BBBBBB" w:sz="1"/>
              <w:bottom w:val="single" w:color="BBBBBB" w:sz="1"/>
              <w:right w:val="single" w:color="BBBBBB" w:sz="1"/>
            </w:tcBorders>
            <w:shd w:fill="EDE4D0" w:val="clear"/>
            <w:tcMar>
              <w:top w:type="dxa" w:w="80"/>
              <w:left w:type="dxa" w:w="120"/>
              <w:bottom w:type="dxa" w:w="80"/>
              <w:right w:type="dxa" w:w="120"/>
            </w:tcMar>
          </w:tcPr>
          <w:p>
            <w:r>
              <w:rPr>
                <w:b/>
                <w:bCs/>
                <w:sz w:val="19"/>
                <w:szCs w:val="19"/>
              </w:rPr>
              <w:t xml:space="preserve">Interval</w:t>
            </w:r>
          </w:p>
        </w:tc>
        <w:tc>
          <w:tcPr>
            <w:tcW w:type="dxa" w:w="6960"/>
            <w:tcBorders>
              <w:top w:val="single" w:color="BBBBBB" w:sz="1"/>
              <w:left w:val="single" w:color="BBBBBB" w:sz="1"/>
              <w:bottom w:val="single" w:color="BBBBBB" w:sz="1"/>
              <w:right w:val="single" w:color="BBBBBB" w:sz="1"/>
            </w:tcBorders>
            <w:shd w:fill="EDE4D0" w:val="clear"/>
            <w:tcMar>
              <w:top w:type="dxa" w:w="80"/>
              <w:left w:type="dxa" w:w="120"/>
              <w:bottom w:type="dxa" w:w="80"/>
              <w:right w:type="dxa" w:w="120"/>
            </w:tcMar>
          </w:tcPr>
          <w:p>
            <w:r>
              <w:rPr>
                <w:b/>
                <w:bCs/>
                <w:sz w:val="19"/>
                <w:szCs w:val="19"/>
              </w:rPr>
              <w:t xml:space="preserve">Work</w:t>
            </w:r>
          </w:p>
        </w:tc>
      </w:tr>
      <w:tr>
        <w:tc>
          <w:tcPr>
            <w:tcW w:type="dxa" w:w="24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bCs/>
                <w:sz w:val="19"/>
                <w:szCs w:val="19"/>
              </w:rPr>
              <w:t xml:space="preserve">6,000–10,000 mi</w:t>
            </w:r>
          </w:p>
        </w:tc>
        <w:tc>
          <w:tcPr>
            <w:tcW w:type="dxa" w:w="69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Oil and filter, tire rotation</w:t>
            </w:r>
          </w:p>
        </w:tc>
      </w:tr>
      <w:tr>
        <w:tc>
          <w:tcPr>
            <w:tcW w:type="dxa" w:w="24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bCs/>
                <w:sz w:val="19"/>
                <w:szCs w:val="19"/>
              </w:rPr>
              <w:t xml:space="preserve">~15,000 mi</w:t>
            </w:r>
          </w:p>
        </w:tc>
        <w:tc>
          <w:tcPr>
            <w:tcW w:type="dxa" w:w="69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Add engine air filter and cabin filter</w:t>
            </w:r>
          </w:p>
        </w:tc>
      </w:tr>
      <w:tr>
        <w:tc>
          <w:tcPr>
            <w:tcW w:type="dxa" w:w="24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bCs/>
                <w:sz w:val="19"/>
                <w:szCs w:val="19"/>
              </w:rPr>
              <w:t xml:space="preserve">25,000–30,000 mi</w:t>
            </w:r>
          </w:p>
        </w:tc>
        <w:tc>
          <w:tcPr>
            <w:tcW w:type="dxa" w:w="69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CVT fluid drain and fill — the interval that matters most</w:t>
            </w:r>
          </w:p>
        </w:tc>
      </w:tr>
      <w:tr>
        <w:tc>
          <w:tcPr>
            <w:tcW w:type="dxa" w:w="24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bCs/>
                <w:sz w:val="19"/>
                <w:szCs w:val="19"/>
              </w:rPr>
              <w:t xml:space="preserve">30,000 mi</w:t>
            </w:r>
          </w:p>
        </w:tc>
        <w:tc>
          <w:tcPr>
            <w:tcW w:type="dxa" w:w="69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Brake inspection with pad measurement; clean and lube caliper slide pins</w:t>
            </w:r>
          </w:p>
        </w:tc>
      </w:tr>
      <w:tr>
        <w:tc>
          <w:tcPr>
            <w:tcW w:type="dxa" w:w="24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bCs/>
                <w:sz w:val="19"/>
                <w:szCs w:val="19"/>
              </w:rPr>
              <w:t xml:space="preserve">~100,000 mi</w:t>
            </w:r>
          </w:p>
        </w:tc>
        <w:tc>
          <w:tcPr>
            <w:tcW w:type="dxa" w:w="69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Spark plugs; inspect valve clearance, water pump, drive belt</w:t>
            </w:r>
          </w:p>
        </w:tc>
      </w:tr>
      <w:tr>
        <w:tc>
          <w:tcPr>
            <w:tcW w:type="dxa" w:w="24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bCs/>
                <w:sz w:val="19"/>
                <w:szCs w:val="19"/>
              </w:rPr>
              <w:t xml:space="preserve">~100,000–120,000 mi</w:t>
            </w:r>
          </w:p>
        </w:tc>
        <w:tc>
          <w:tcPr>
            <w:tcW w:type="dxa" w:w="69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First coolant replacement, then every 60,000</w:t>
            </w:r>
          </w:p>
        </w:tc>
      </w:tr>
      <w:tr>
        <w:tc>
          <w:tcPr>
            <w:tcW w:type="dxa" w:w="24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bCs/>
                <w:sz w:val="19"/>
                <w:szCs w:val="19"/>
              </w:rPr>
              <w:t xml:space="preserve">Never</w:t>
            </w:r>
          </w:p>
        </w:tc>
        <w:tc>
          <w:tcPr>
            <w:tcW w:type="dxa" w:w="69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Timing belt — the engine uses a chain</w:t>
            </w:r>
          </w:p>
        </w:tc>
      </w:tr>
    </w:tbl>
    <w:p>
      <w:pPr>
        <w:pageBreakBefore/>
      </w:pPr>
    </w:p>
    <w:p>
      <w:pPr>
        <w:pStyle w:val="Heading1"/>
      </w:pPr>
      <w:r>
        <w:t xml:space="preserve">DIY versus shop</w:t>
      </w:r>
    </w:p>
    <w:p>
      <w:pPr>
        <w:spacing w:after="120"/>
      </w:pPr>
      <w:r>
        <w:rPr>
          <w:sz w:val="20"/>
          <w:szCs w:val="20"/>
        </w:rPr>
        <w:t xml:space="preserve">Ballpark US independent-shop pricing, 2026. Dealers run 30–60% higher on maintenance, but recall work is free and correct at the dealer.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2200"/>
        <w:gridCol w:w="4560"/>
      </w:tblGrid>
      <w:tr>
        <w:trPr>
          <w:tblHeader/>
        </w:trPr>
        <w:tc>
          <w:tcPr>
            <w:tcW w:type="dxa" w:w="2600"/>
            <w:tcBorders>
              <w:top w:val="single" w:color="BBBBBB" w:sz="1"/>
              <w:left w:val="single" w:color="BBBBBB" w:sz="1"/>
              <w:bottom w:val="single" w:color="BBBBBB" w:sz="1"/>
              <w:right w:val="single" w:color="BBBBBB" w:sz="1"/>
            </w:tcBorders>
            <w:shd w:fill="EDE4D0" w:val="clear"/>
            <w:tcMar>
              <w:top w:type="dxa" w:w="80"/>
              <w:left w:type="dxa" w:w="120"/>
              <w:bottom w:type="dxa" w:w="80"/>
              <w:right w:type="dxa" w:w="120"/>
            </w:tcMar>
          </w:tcPr>
          <w:p>
            <w:r>
              <w:rPr>
                <w:b/>
                <w:bCs/>
                <w:sz w:val="19"/>
                <w:szCs w:val="19"/>
              </w:rPr>
              <w:t xml:space="preserve">Job</w:t>
            </w:r>
          </w:p>
        </w:tc>
        <w:tc>
          <w:tcPr>
            <w:tcW w:type="dxa" w:w="2200"/>
            <w:tcBorders>
              <w:top w:val="single" w:color="BBBBBB" w:sz="1"/>
              <w:left w:val="single" w:color="BBBBBB" w:sz="1"/>
              <w:bottom w:val="single" w:color="BBBBBB" w:sz="1"/>
              <w:right w:val="single" w:color="BBBBBB" w:sz="1"/>
            </w:tcBorders>
            <w:shd w:fill="EDE4D0" w:val="clear"/>
            <w:tcMar>
              <w:top w:type="dxa" w:w="80"/>
              <w:left w:type="dxa" w:w="120"/>
              <w:bottom w:type="dxa" w:w="80"/>
              <w:right w:type="dxa" w:w="120"/>
            </w:tcMar>
          </w:tcPr>
          <w:p>
            <w:r>
              <w:rPr>
                <w:b/>
                <w:bCs/>
                <w:sz w:val="19"/>
                <w:szCs w:val="19"/>
              </w:rPr>
              <w:t xml:space="preserve">Shop price</w:t>
            </w:r>
          </w:p>
        </w:tc>
        <w:tc>
          <w:tcPr>
            <w:tcW w:type="dxa" w:w="4560"/>
            <w:tcBorders>
              <w:top w:val="single" w:color="BBBBBB" w:sz="1"/>
              <w:left w:val="single" w:color="BBBBBB" w:sz="1"/>
              <w:bottom w:val="single" w:color="BBBBBB" w:sz="1"/>
              <w:right w:val="single" w:color="BBBBBB" w:sz="1"/>
            </w:tcBorders>
            <w:shd w:fill="EDE4D0" w:val="clear"/>
            <w:tcMar>
              <w:top w:type="dxa" w:w="80"/>
              <w:left w:type="dxa" w:w="120"/>
              <w:bottom w:type="dxa" w:w="80"/>
              <w:right w:type="dxa" w:w="120"/>
            </w:tcMar>
          </w:tcPr>
          <w:p>
            <w:r>
              <w:rPr>
                <w:b/>
                <w:bCs/>
                <w:sz w:val="19"/>
                <w:szCs w:val="19"/>
              </w:rPr>
              <w:t xml:space="preserve">Verdict</w:t>
            </w:r>
          </w:p>
        </w:tc>
      </w:tr>
      <w:tr>
        <w:tc>
          <w:tcPr>
            <w:tcW w:type="dxa" w:w="26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bCs/>
                <w:sz w:val="19"/>
                <w:szCs w:val="19"/>
              </w:rPr>
              <w:t xml:space="preserve">Engine air filter</w:t>
            </w:r>
          </w:p>
        </w:tc>
        <w:tc>
          <w:tcPr>
            <w:tcW w:type="dxa" w:w="22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$40–70</w:t>
            </w:r>
          </w:p>
        </w:tc>
        <w:tc>
          <w:tcPr>
            <w:tcW w:type="dxa" w:w="45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Do it yourself — two minutes, no tools</w:t>
            </w:r>
          </w:p>
        </w:tc>
      </w:tr>
      <w:tr>
        <w:tc>
          <w:tcPr>
            <w:tcW w:type="dxa" w:w="26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bCs/>
                <w:sz w:val="19"/>
                <w:szCs w:val="19"/>
              </w:rPr>
              <w:t xml:space="preserve">Cabin filter</w:t>
            </w:r>
          </w:p>
        </w:tc>
        <w:tc>
          <w:tcPr>
            <w:tcW w:type="dxa" w:w="22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$50–90</w:t>
            </w:r>
          </w:p>
        </w:tc>
        <w:tc>
          <w:tcPr>
            <w:tcW w:type="dxa" w:w="45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Do it yourself — ten minutes, drop the glovebox</w:t>
            </w:r>
          </w:p>
        </w:tc>
      </w:tr>
      <w:tr>
        <w:tc>
          <w:tcPr>
            <w:tcW w:type="dxa" w:w="26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bCs/>
                <w:sz w:val="19"/>
                <w:szCs w:val="19"/>
              </w:rPr>
              <w:t xml:space="preserve">Wipers</w:t>
            </w:r>
          </w:p>
        </w:tc>
        <w:tc>
          <w:tcPr>
            <w:tcW w:type="dxa" w:w="22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$30–60</w:t>
            </w:r>
          </w:p>
        </w:tc>
        <w:tc>
          <w:tcPr>
            <w:tcW w:type="dxa" w:w="45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Do it yourself</w:t>
            </w:r>
          </w:p>
        </w:tc>
      </w:tr>
      <w:tr>
        <w:tc>
          <w:tcPr>
            <w:tcW w:type="dxa" w:w="26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bCs/>
                <w:sz w:val="19"/>
                <w:szCs w:val="19"/>
              </w:rPr>
              <w:t xml:space="preserve">Battery</w:t>
            </w:r>
          </w:p>
        </w:tc>
        <w:tc>
          <w:tcPr>
            <w:tcW w:type="dxa" w:w="22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Free fit with purchase</w:t>
            </w:r>
          </w:p>
        </w:tc>
        <w:tc>
          <w:tcPr>
            <w:tcW w:type="dxa" w:w="45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Take the free fitting</w:t>
            </w:r>
          </w:p>
        </w:tc>
      </w:tr>
      <w:tr>
        <w:tc>
          <w:tcPr>
            <w:tcW w:type="dxa" w:w="26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bCs/>
                <w:sz w:val="19"/>
                <w:szCs w:val="19"/>
              </w:rPr>
              <w:t xml:space="preserve">Oil and filter</w:t>
            </w:r>
          </w:p>
        </w:tc>
        <w:tc>
          <w:tcPr>
            <w:tcW w:type="dxa" w:w="22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$70–110</w:t>
            </w:r>
          </w:p>
        </w:tc>
        <w:tc>
          <w:tcPr>
            <w:tcW w:type="dxa" w:w="45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Shop — thin margin, messy disposal</w:t>
            </w:r>
          </w:p>
        </w:tc>
      </w:tr>
      <w:tr>
        <w:tc>
          <w:tcPr>
            <w:tcW w:type="dxa" w:w="26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bCs/>
                <w:sz w:val="19"/>
                <w:szCs w:val="19"/>
              </w:rPr>
              <w:t xml:space="preserve">Tire rotation</w:t>
            </w:r>
          </w:p>
        </w:tc>
        <w:tc>
          <w:tcPr>
            <w:tcW w:type="dxa" w:w="22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$25–50</w:t>
            </w:r>
          </w:p>
        </w:tc>
        <w:tc>
          <w:tcPr>
            <w:tcW w:type="dxa" w:w="45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Shop — often free where you bought the tires</w:t>
            </w:r>
          </w:p>
        </w:tc>
      </w:tr>
      <w:tr>
        <w:tc>
          <w:tcPr>
            <w:tcW w:type="dxa" w:w="26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bCs/>
                <w:sz w:val="19"/>
                <w:szCs w:val="19"/>
              </w:rPr>
              <w:t xml:space="preserve">CVT drain and fill</w:t>
            </w:r>
          </w:p>
        </w:tc>
        <w:tc>
          <w:tcPr>
            <w:tcW w:type="dxa" w:w="22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$150–250</w:t>
            </w:r>
          </w:p>
        </w:tc>
        <w:tc>
          <w:tcPr>
            <w:tcW w:type="dxa" w:w="45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Shop — and specify HCF-2 on the invoice</w:t>
            </w:r>
          </w:p>
        </w:tc>
      </w:tr>
      <w:tr>
        <w:tc>
          <w:tcPr>
            <w:tcW w:type="dxa" w:w="26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bCs/>
                <w:sz w:val="19"/>
                <w:szCs w:val="19"/>
              </w:rPr>
              <w:t xml:space="preserve">Brake fluid flush</w:t>
            </w:r>
          </w:p>
        </w:tc>
        <w:tc>
          <w:tcPr>
            <w:tcW w:type="dxa" w:w="22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$100–180</w:t>
            </w:r>
          </w:p>
        </w:tc>
        <w:tc>
          <w:tcPr>
            <w:tcW w:type="dxa" w:w="45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Shop</w:t>
            </w:r>
          </w:p>
        </w:tc>
      </w:tr>
      <w:tr>
        <w:tc>
          <w:tcPr>
            <w:tcW w:type="dxa" w:w="26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bCs/>
                <w:sz w:val="19"/>
                <w:szCs w:val="19"/>
              </w:rPr>
              <w:t xml:space="preserve">Brake pads and rotors</w:t>
            </w:r>
          </w:p>
        </w:tc>
        <w:tc>
          <w:tcPr>
            <w:tcW w:type="dxa" w:w="22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$300–500 per axle</w:t>
            </w:r>
          </w:p>
        </w:tc>
        <w:tc>
          <w:tcPr>
            <w:tcW w:type="dxa" w:w="45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Shop unless experienced</w:t>
            </w:r>
          </w:p>
        </w:tc>
      </w:tr>
      <w:tr>
        <w:tc>
          <w:tcPr>
            <w:tcW w:type="dxa" w:w="26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bCs/>
                <w:sz w:val="19"/>
                <w:szCs w:val="19"/>
              </w:rPr>
              <w:t xml:space="preserve">Spark plugs</w:t>
            </w:r>
          </w:p>
        </w:tc>
        <w:tc>
          <w:tcPr>
            <w:tcW w:type="dxa" w:w="22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$150–250</w:t>
            </w:r>
          </w:p>
        </w:tc>
        <w:tc>
          <w:tcPr>
            <w:tcW w:type="dxa" w:w="45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Either — torque to spec, aluminum head</w:t>
            </w:r>
          </w:p>
        </w:tc>
      </w:tr>
      <w:tr>
        <w:tc>
          <w:tcPr>
            <w:tcW w:type="dxa" w:w="26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bCs/>
                <w:sz w:val="19"/>
                <w:szCs w:val="19"/>
              </w:rPr>
              <w:t xml:space="preserve">Coolant replacement</w:t>
            </w:r>
          </w:p>
        </w:tc>
        <w:tc>
          <w:tcPr>
            <w:tcW w:type="dxa" w:w="22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$120–200</w:t>
            </w:r>
          </w:p>
        </w:tc>
        <w:tc>
          <w:tcPr>
            <w:tcW w:type="dxa" w:w="45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Shop — must be burped of air</w:t>
            </w:r>
          </w:p>
        </w:tc>
      </w:tr>
    </w:tbl>
    <w:p>
      <w:pPr>
        <w:spacing w:after="120"/>
      </w:pPr>
      <w:r>
        <w:rPr>
          <w:i/>
          <w:iCs/>
          <w:sz w:val="20"/>
          <w:szCs w:val="20"/>
        </w:rPr>
        <w:t xml:space="preserve">Ask for your old parts back, or to see them. Costs nothing, and quietly ends the conversation about services charged but not performed.</w:t>
      </w:r>
    </w:p>
    <w:p>
      <w:pPr>
        <w:pStyle w:val="Heading1"/>
      </w:pPr>
      <w:r>
        <w:t xml:space="preserve">Known weak points</w:t>
      </w:r>
    </w:p>
    <w:p>
      <w:pPr>
        <w:pStyle w:val="ListParagraph"/>
        <w:numPr>
          <w:ilvl w:val="0"/>
          <w:numId w:val="3"/>
        </w:numPr>
        <w:spacing w:after="60"/>
      </w:pPr>
      <w:r>
        <w:rPr>
          <w:sz w:val="20"/>
          <w:szCs w:val="20"/>
        </w:rPr>
        <w:t xml:space="preserve">CVT behaviour (2014–15 autos): shudder or hesitation at highway speed. Overwhelmingly a fluid-condition story — fresh HCF-2 every 25–30k. Judder that survives a fluid change wants a specialist.</w:t>
      </w:r>
    </w:p>
    <w:p>
      <w:pPr>
        <w:pStyle w:val="ListParagraph"/>
        <w:numPr>
          <w:ilvl w:val="0"/>
          <w:numId w:val="3"/>
        </w:numPr>
        <w:spacing w:after="60"/>
      </w:pPr>
      <w:r>
        <w:rPr>
          <w:sz w:val="20"/>
          <w:szCs w:val="20"/>
        </w:rPr>
        <w:t xml:space="preserve">Takata airbag inflators: this era of Honda sat at the centre of the largest safety recall in US history. Free repair, no expiry.</w:t>
      </w:r>
    </w:p>
    <w:p>
      <w:pPr>
        <w:pStyle w:val="ListParagraph"/>
        <w:numPr>
          <w:ilvl w:val="0"/>
          <w:numId w:val="3"/>
        </w:numPr>
        <w:spacing w:after="60"/>
      </w:pPr>
      <w:r>
        <w:rPr>
          <w:sz w:val="20"/>
          <w:szCs w:val="20"/>
        </w:rPr>
        <w:t xml:space="preserve">Repeat dead batteries are often a parasitic drain, not a bad battery. Have the draw measured before buying a third.</w:t>
      </w:r>
    </w:p>
    <w:p>
      <w:pPr>
        <w:pStyle w:val="ListParagraph"/>
        <w:numPr>
          <w:ilvl w:val="0"/>
          <w:numId w:val="3"/>
        </w:numPr>
        <w:spacing w:after="60"/>
      </w:pPr>
      <w:r>
        <w:rPr>
          <w:sz w:val="20"/>
          <w:szCs w:val="20"/>
        </w:rPr>
        <w:t xml:space="preserve">Oil consumption on some engines of this era — check the level monthly rather than assuming.</w:t>
      </w:r>
    </w:p>
    <w:p>
      <w:pPr>
        <w:pStyle w:val="ListParagraph"/>
        <w:numPr>
          <w:ilvl w:val="0"/>
          <w:numId w:val="3"/>
        </w:numPr>
        <w:spacing w:after="60"/>
      </w:pPr>
      <w:r>
        <w:rPr>
          <w:sz w:val="20"/>
          <w:szCs w:val="20"/>
        </w:rPr>
        <w:t xml:space="preserve">AC compressor and rear suspension bushings are normal wear items past 100k, not defects.</w:t>
      </w:r>
    </w:p>
    <w:p>
      <w:pPr>
        <w:pStyle w:val="Heading1"/>
      </w:pPr>
      <w:r>
        <w:t xml:space="preserve">Monthly five-minute walkaround</w:t>
      </w:r>
    </w:p>
    <w:p>
      <w:pPr>
        <w:pStyle w:val="ListParagraph"/>
        <w:numPr>
          <w:ilvl w:val="0"/>
          <w:numId w:val="3"/>
        </w:numPr>
        <w:spacing w:after="60"/>
      </w:pPr>
      <w:r>
        <w:rPr>
          <w:sz w:val="20"/>
          <w:szCs w:val="20"/>
        </w:rPr>
        <w:t xml:space="preserve">Tire pressure, all four plus the spare, cold, with a real gauge.</w:t>
      </w:r>
    </w:p>
    <w:p>
      <w:pPr>
        <w:pStyle w:val="ListParagraph"/>
        <w:numPr>
          <w:ilvl w:val="0"/>
          <w:numId w:val="3"/>
        </w:numPr>
        <w:spacing w:after="60"/>
      </w:pPr>
      <w:r>
        <w:rPr>
          <w:sz w:val="20"/>
          <w:szCs w:val="20"/>
        </w:rPr>
        <w:t xml:space="preserve">Tread depth — a quarter, Washington head down: see the top of his head and you are shopping for tires.</w:t>
      </w:r>
    </w:p>
    <w:p>
      <w:pPr>
        <w:pStyle w:val="ListParagraph"/>
        <w:numPr>
          <w:ilvl w:val="0"/>
          <w:numId w:val="3"/>
        </w:numPr>
        <w:spacing w:after="60"/>
      </w:pPr>
      <w:r>
        <w:rPr>
          <w:sz w:val="20"/>
          <w:szCs w:val="20"/>
        </w:rPr>
        <w:t xml:space="preserve">Oil level on level ground, engine cool. Note level and colour.</w:t>
      </w:r>
    </w:p>
    <w:p>
      <w:pPr>
        <w:pStyle w:val="ListParagraph"/>
        <w:numPr>
          <w:ilvl w:val="0"/>
          <w:numId w:val="3"/>
        </w:numPr>
        <w:spacing w:after="60"/>
      </w:pPr>
      <w:r>
        <w:rPr>
          <w:sz w:val="20"/>
          <w:szCs w:val="20"/>
        </w:rPr>
        <w:t xml:space="preserve">Coolant between MIN and MAX in the overflow tank, cold. Never open a hot cap.</w:t>
      </w:r>
    </w:p>
    <w:p>
      <w:pPr>
        <w:pStyle w:val="ListParagraph"/>
        <w:numPr>
          <w:ilvl w:val="0"/>
          <w:numId w:val="3"/>
        </w:numPr>
        <w:spacing w:after="60"/>
      </w:pPr>
      <w:r>
        <w:rPr>
          <w:sz w:val="20"/>
          <w:szCs w:val="20"/>
        </w:rPr>
        <w:t xml:space="preserve">Brake fluid level — falling slowly means pads wearing, or a leak.</w:t>
      </w:r>
    </w:p>
    <w:p>
      <w:pPr>
        <w:pStyle w:val="ListParagraph"/>
        <w:numPr>
          <w:ilvl w:val="0"/>
          <w:numId w:val="3"/>
        </w:numPr>
        <w:spacing w:after="60"/>
      </w:pPr>
      <w:r>
        <w:rPr>
          <w:sz w:val="20"/>
          <w:szCs w:val="20"/>
        </w:rPr>
        <w:t xml:space="preserve">Every light including brake lights — back up to a wall at night and watch the reflection.</w:t>
      </w:r>
    </w:p>
    <w:p>
      <w:pPr>
        <w:pStyle w:val="ListParagraph"/>
        <w:numPr>
          <w:ilvl w:val="0"/>
          <w:numId w:val="3"/>
        </w:numPr>
        <w:spacing w:after="60"/>
      </w:pPr>
      <w:r>
        <w:rPr>
          <w:sz w:val="20"/>
          <w:szCs w:val="20"/>
        </w:rPr>
        <w:t xml:space="preserve">Listen once with the radio off: new ticking, grinding, droning, or a speed-dependent squeal.</w:t>
      </w:r>
    </w:p>
    <w:p>
      <w:pPr>
        <w:pageBreakBefore/>
      </w:pPr>
    </w:p>
    <w:p>
      <w:pPr>
        <w:pStyle w:val="Heading1"/>
      </w:pPr>
      <w:r>
        <w:t xml:space="preserve">Service log</w:t>
      </w:r>
    </w:p>
    <w:p>
      <w:pPr>
        <w:spacing w:after="120"/>
      </w:pPr>
      <w:r>
        <w:rPr>
          <w:sz w:val="20"/>
          <w:szCs w:val="20"/>
        </w:rPr>
        <w:t xml:space="preserve">Keep this in the glovebox. A documented history is worth real money at resale and settles every “did I already do that?” question.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1200"/>
        <w:gridCol w:w="900"/>
        <w:gridCol w:w="4460"/>
        <w:gridCol w:w="1500"/>
      </w:tblGrid>
      <w:tr>
        <w:trPr>
          <w:tblHeader/>
        </w:trPr>
        <w:tc>
          <w:tcPr>
            <w:tcW w:type="dxa" w:w="1300"/>
            <w:tcBorders>
              <w:top w:val="single" w:color="BBBBBB" w:sz="1"/>
              <w:left w:val="single" w:color="BBBBBB" w:sz="1"/>
              <w:bottom w:val="single" w:color="BBBBBB" w:sz="1"/>
              <w:right w:val="single" w:color="BBBBBB" w:sz="1"/>
            </w:tcBorders>
            <w:shd w:fill="EDE4D0" w:val="clear"/>
            <w:tcMar>
              <w:top w:type="dxa" w:w="80"/>
              <w:left w:type="dxa" w:w="120"/>
              <w:bottom w:type="dxa" w:w="80"/>
              <w:right w:type="dxa" w:w="120"/>
            </w:tcMar>
          </w:tcPr>
          <w:p>
            <w:r>
              <w:rPr>
                <w:b/>
                <w:bCs/>
                <w:sz w:val="19"/>
                <w:szCs w:val="19"/>
              </w:rPr>
              <w:t xml:space="preserve">Date</w:t>
            </w:r>
          </w:p>
        </w:tc>
        <w:tc>
          <w:tcPr>
            <w:tcW w:type="dxa" w:w="1200"/>
            <w:tcBorders>
              <w:top w:val="single" w:color="BBBBBB" w:sz="1"/>
              <w:left w:val="single" w:color="BBBBBB" w:sz="1"/>
              <w:bottom w:val="single" w:color="BBBBBB" w:sz="1"/>
              <w:right w:val="single" w:color="BBBBBB" w:sz="1"/>
            </w:tcBorders>
            <w:shd w:fill="EDE4D0" w:val="clear"/>
            <w:tcMar>
              <w:top w:type="dxa" w:w="80"/>
              <w:left w:type="dxa" w:w="120"/>
              <w:bottom w:type="dxa" w:w="80"/>
              <w:right w:type="dxa" w:w="120"/>
            </w:tcMar>
          </w:tcPr>
          <w:p>
            <w:r>
              <w:rPr>
                <w:b/>
                <w:bCs/>
                <w:sz w:val="19"/>
                <w:szCs w:val="19"/>
              </w:rPr>
              <w:t xml:space="preserve">Mileage</w:t>
            </w:r>
          </w:p>
        </w:tc>
        <w:tc>
          <w:tcPr>
            <w:tcW w:type="dxa" w:w="900"/>
            <w:tcBorders>
              <w:top w:val="single" w:color="BBBBBB" w:sz="1"/>
              <w:left w:val="single" w:color="BBBBBB" w:sz="1"/>
              <w:bottom w:val="single" w:color="BBBBBB" w:sz="1"/>
              <w:right w:val="single" w:color="BBBBBB" w:sz="1"/>
            </w:tcBorders>
            <w:shd w:fill="EDE4D0" w:val="clear"/>
            <w:tcMar>
              <w:top w:type="dxa" w:w="80"/>
              <w:left w:type="dxa" w:w="120"/>
              <w:bottom w:type="dxa" w:w="80"/>
              <w:right w:type="dxa" w:w="120"/>
            </w:tcMar>
          </w:tcPr>
          <w:p>
            <w:r>
              <w:rPr>
                <w:b/>
                <w:bCs/>
                <w:sz w:val="19"/>
                <w:szCs w:val="19"/>
              </w:rPr>
              <w:t xml:space="preserve">Code</w:t>
            </w:r>
          </w:p>
        </w:tc>
        <w:tc>
          <w:tcPr>
            <w:tcW w:type="dxa" w:w="4460"/>
            <w:tcBorders>
              <w:top w:val="single" w:color="BBBBBB" w:sz="1"/>
              <w:left w:val="single" w:color="BBBBBB" w:sz="1"/>
              <w:bottom w:val="single" w:color="BBBBBB" w:sz="1"/>
              <w:right w:val="single" w:color="BBBBBB" w:sz="1"/>
            </w:tcBorders>
            <w:shd w:fill="EDE4D0" w:val="clear"/>
            <w:tcMar>
              <w:top w:type="dxa" w:w="80"/>
              <w:left w:type="dxa" w:w="120"/>
              <w:bottom w:type="dxa" w:w="80"/>
              <w:right w:type="dxa" w:w="120"/>
            </w:tcMar>
          </w:tcPr>
          <w:p>
            <w:r>
              <w:rPr>
                <w:b/>
                <w:bCs/>
                <w:sz w:val="19"/>
                <w:szCs w:val="19"/>
              </w:rPr>
              <w:t xml:space="preserve">Work performed</w:t>
            </w:r>
          </w:p>
        </w:tc>
        <w:tc>
          <w:tcPr>
            <w:tcW w:type="dxa" w:w="1500"/>
            <w:tcBorders>
              <w:top w:val="single" w:color="BBBBBB" w:sz="1"/>
              <w:left w:val="single" w:color="BBBBBB" w:sz="1"/>
              <w:bottom w:val="single" w:color="BBBBBB" w:sz="1"/>
              <w:right w:val="single" w:color="BBBBBB" w:sz="1"/>
            </w:tcBorders>
            <w:shd w:fill="EDE4D0" w:val="clear"/>
            <w:tcMar>
              <w:top w:type="dxa" w:w="80"/>
              <w:left w:type="dxa" w:w="120"/>
              <w:bottom w:type="dxa" w:w="80"/>
              <w:right w:type="dxa" w:w="120"/>
            </w:tcMar>
          </w:tcPr>
          <w:p>
            <w:r>
              <w:rPr>
                <w:b/>
                <w:bCs/>
                <w:sz w:val="19"/>
                <w:szCs w:val="19"/>
              </w:rPr>
              <w:t xml:space="preserve">Cost</w:t>
            </w:r>
          </w:p>
        </w:tc>
      </w:tr>
      <w:tr>
        <w:tc>
          <w:tcPr>
            <w:tcW w:type="dxa" w:w="13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c>
          <w:tcPr>
            <w:tcW w:type="dxa" w:w="12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c>
          <w:tcPr>
            <w:tcW w:type="dxa" w:w="9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c>
          <w:tcPr>
            <w:tcW w:type="dxa" w:w="44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c>
          <w:tcPr>
            <w:tcW w:type="dxa" w:w="15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r>
      <w:tr>
        <w:tc>
          <w:tcPr>
            <w:tcW w:type="dxa" w:w="13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c>
          <w:tcPr>
            <w:tcW w:type="dxa" w:w="12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c>
          <w:tcPr>
            <w:tcW w:type="dxa" w:w="9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c>
          <w:tcPr>
            <w:tcW w:type="dxa" w:w="44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c>
          <w:tcPr>
            <w:tcW w:type="dxa" w:w="15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r>
      <w:tr>
        <w:tc>
          <w:tcPr>
            <w:tcW w:type="dxa" w:w="13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c>
          <w:tcPr>
            <w:tcW w:type="dxa" w:w="12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c>
          <w:tcPr>
            <w:tcW w:type="dxa" w:w="9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c>
          <w:tcPr>
            <w:tcW w:type="dxa" w:w="44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c>
          <w:tcPr>
            <w:tcW w:type="dxa" w:w="15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r>
      <w:tr>
        <w:tc>
          <w:tcPr>
            <w:tcW w:type="dxa" w:w="13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c>
          <w:tcPr>
            <w:tcW w:type="dxa" w:w="12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c>
          <w:tcPr>
            <w:tcW w:type="dxa" w:w="9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c>
          <w:tcPr>
            <w:tcW w:type="dxa" w:w="44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c>
          <w:tcPr>
            <w:tcW w:type="dxa" w:w="15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r>
      <w:tr>
        <w:tc>
          <w:tcPr>
            <w:tcW w:type="dxa" w:w="13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c>
          <w:tcPr>
            <w:tcW w:type="dxa" w:w="12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c>
          <w:tcPr>
            <w:tcW w:type="dxa" w:w="9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c>
          <w:tcPr>
            <w:tcW w:type="dxa" w:w="44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c>
          <w:tcPr>
            <w:tcW w:type="dxa" w:w="15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r>
      <w:tr>
        <w:tc>
          <w:tcPr>
            <w:tcW w:type="dxa" w:w="13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c>
          <w:tcPr>
            <w:tcW w:type="dxa" w:w="12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c>
          <w:tcPr>
            <w:tcW w:type="dxa" w:w="9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c>
          <w:tcPr>
            <w:tcW w:type="dxa" w:w="44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c>
          <w:tcPr>
            <w:tcW w:type="dxa" w:w="15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r>
      <w:tr>
        <w:tc>
          <w:tcPr>
            <w:tcW w:type="dxa" w:w="13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c>
          <w:tcPr>
            <w:tcW w:type="dxa" w:w="12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c>
          <w:tcPr>
            <w:tcW w:type="dxa" w:w="9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c>
          <w:tcPr>
            <w:tcW w:type="dxa" w:w="44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c>
          <w:tcPr>
            <w:tcW w:type="dxa" w:w="15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r>
      <w:tr>
        <w:tc>
          <w:tcPr>
            <w:tcW w:type="dxa" w:w="13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c>
          <w:tcPr>
            <w:tcW w:type="dxa" w:w="12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c>
          <w:tcPr>
            <w:tcW w:type="dxa" w:w="9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c>
          <w:tcPr>
            <w:tcW w:type="dxa" w:w="44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c>
          <w:tcPr>
            <w:tcW w:type="dxa" w:w="15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r>
      <w:tr>
        <w:tc>
          <w:tcPr>
            <w:tcW w:type="dxa" w:w="13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c>
          <w:tcPr>
            <w:tcW w:type="dxa" w:w="12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c>
          <w:tcPr>
            <w:tcW w:type="dxa" w:w="9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c>
          <w:tcPr>
            <w:tcW w:type="dxa" w:w="44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c>
          <w:tcPr>
            <w:tcW w:type="dxa" w:w="15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r>
      <w:tr>
        <w:tc>
          <w:tcPr>
            <w:tcW w:type="dxa" w:w="13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c>
          <w:tcPr>
            <w:tcW w:type="dxa" w:w="12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c>
          <w:tcPr>
            <w:tcW w:type="dxa" w:w="9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c>
          <w:tcPr>
            <w:tcW w:type="dxa" w:w="44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c>
          <w:tcPr>
            <w:tcW w:type="dxa" w:w="15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r>
      <w:tr>
        <w:tc>
          <w:tcPr>
            <w:tcW w:type="dxa" w:w="13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c>
          <w:tcPr>
            <w:tcW w:type="dxa" w:w="12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c>
          <w:tcPr>
            <w:tcW w:type="dxa" w:w="9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c>
          <w:tcPr>
            <w:tcW w:type="dxa" w:w="44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c>
          <w:tcPr>
            <w:tcW w:type="dxa" w:w="15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r>
      <w:tr>
        <w:tc>
          <w:tcPr>
            <w:tcW w:type="dxa" w:w="13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c>
          <w:tcPr>
            <w:tcW w:type="dxa" w:w="12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c>
          <w:tcPr>
            <w:tcW w:type="dxa" w:w="9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c>
          <w:tcPr>
            <w:tcW w:type="dxa" w:w="44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c>
          <w:tcPr>
            <w:tcW w:type="dxa" w:w="15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r>
      <w:tr>
        <w:tc>
          <w:tcPr>
            <w:tcW w:type="dxa" w:w="13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c>
          <w:tcPr>
            <w:tcW w:type="dxa" w:w="12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c>
          <w:tcPr>
            <w:tcW w:type="dxa" w:w="9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c>
          <w:tcPr>
            <w:tcW w:type="dxa" w:w="44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c>
          <w:tcPr>
            <w:tcW w:type="dxa" w:w="15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r>
      <w:tr>
        <w:tc>
          <w:tcPr>
            <w:tcW w:type="dxa" w:w="13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c>
          <w:tcPr>
            <w:tcW w:type="dxa" w:w="12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c>
          <w:tcPr>
            <w:tcW w:type="dxa" w:w="9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c>
          <w:tcPr>
            <w:tcW w:type="dxa" w:w="44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c>
          <w:tcPr>
            <w:tcW w:type="dxa" w:w="15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r>
      <w:tr>
        <w:tc>
          <w:tcPr>
            <w:tcW w:type="dxa" w:w="13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c>
          <w:tcPr>
            <w:tcW w:type="dxa" w:w="12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c>
          <w:tcPr>
            <w:tcW w:type="dxa" w:w="9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c>
          <w:tcPr>
            <w:tcW w:type="dxa" w:w="44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c>
          <w:tcPr>
            <w:tcW w:type="dxa" w:w="15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r>
      <w:tr>
        <w:tc>
          <w:tcPr>
            <w:tcW w:type="dxa" w:w="13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c>
          <w:tcPr>
            <w:tcW w:type="dxa" w:w="12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c>
          <w:tcPr>
            <w:tcW w:type="dxa" w:w="9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c>
          <w:tcPr>
            <w:tcW w:type="dxa" w:w="44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c>
          <w:tcPr>
            <w:tcW w:type="dxa" w:w="150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19"/>
                <w:szCs w:val="19"/>
              </w:rPr>
              <w:t xml:space="preserve"/>
            </w:r>
          </w:p>
        </w:tc>
      </w:tr>
    </w:tbl>
    <w:p>
      <w:pPr>
        <w:spacing w:after="160"/>
      </w:pPr>
    </w:p>
    <w:p>
      <w:pPr>
        <w:pStyle w:val="Heading2"/>
      </w:pPr>
      <w:r>
        <w:t xml:space="preserve">Caveats</w:t>
      </w:r>
    </w:p>
    <w:p>
      <w:pPr>
        <w:spacing w:after="120"/>
      </w:pPr>
      <w:r>
        <w:rPr>
          <w:sz w:val="20"/>
          <w:szCs w:val="20"/>
        </w:rPr>
        <w:t xml:space="preserve">The owner’s manual and the under-hood sticker are specific to your VIN and outrank this sheet wherever they disagree. Two places published sources genuinely vary: the coolant first interval is printed as 10 years / 100,000 miles in some manual revisions and 120,000 in others (academic at 11 years — it is due), and the 30,000-mile spark plug figure quoted all over the internet belongs to older conventional plugs, not the iridium plugs in this car. Prices are ballpark and move with region and labour rate. Nothing here replaces a qualified mechanic looking at the actual car.</w:t>
      </w:r>
    </w:p>
    <w:sectPr>
      <w:headerReference w:type="default" r:id="rId7"/>
      <w:footerReference w:type="default" r:id="rId8"/>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Compiled August 21, 2026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777777"/>
        <w:sz w:val="16"/>
        <w:szCs w:val="16"/>
      </w:rPr>
      <w:t xml:space="preserve">2015 Honda Civic — Maintenance Sheet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lvl>
  </w:abstractNum>
  <w:abstractNum w:abstractNumId="3" w15:restartNumberingAfterBreak="0">
    <w:multiLevelType w:val="hybridMultilevel"/>
    <w:lvl w:ilvl="0" w15:tentative="1">
      <w:start w:val="1"/>
      <w:numFmt w:val="decimal"/>
      <w:lvlText w:val="%1."/>
      <w:lvlJc w:val="left"/>
      <w:pPr>
        <w:ind w:left="460" w:hanging="2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280"/>
      <w:outlineLvl w:val="0"/>
    </w:pPr>
    <w:rPr>
      <w:rFonts w:ascii="Arial" w:cs="Arial" w:eastAsia="Arial" w:hAnsi="Arial"/>
      <w:b/>
      <w:bCs/>
      <w:sz w:val="30"/>
      <w:szCs w:val="30"/>
    </w:rPr>
  </w:style>
  <w:style w:type="paragraph" w:styleId="Heading2">
    <w:name w:val="Heading 2"/>
    <w:basedOn w:val="Normal"/>
    <w:next w:val="Normal"/>
    <w:qFormat/>
    <w:pPr>
      <w:spacing w:after="100" w:before="200"/>
      <w:outlineLvl w:val="1"/>
    </w:pPr>
    <w:rPr>
      <w:rFonts w:ascii="Arial" w:cs="Arial" w:eastAsia="Arial" w:hAnsi="Arial"/>
      <w:b/>
      <w:bCs/>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2026-08-21T19:52:51.736Z</dcterms:created>
  <dcterms:modified xsi:type="dcterms:W3CDTF">2026-08-21T19:52:51.736Z</dcterms:modified>
</cp:coreProperties>
</file>

<file path=docProps/custom.xml><?xml version="1.0" encoding="utf-8"?>
<Properties xmlns="http://schemas.openxmlformats.org/officeDocument/2006/custom-properties" xmlns:vt="http://schemas.openxmlformats.org/officeDocument/2006/docPropsVTypes"/>
</file>